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第</w:t>
      </w:r>
      <w:r>
        <w:rPr>
          <w:rFonts w:hint="eastAsia" w:ascii="微软雅黑" w:hAnsi="微软雅黑" w:eastAsia="微软雅黑" w:cs="微软雅黑"/>
          <w:b/>
          <w:bCs/>
          <w:sz w:val="32"/>
          <w:szCs w:val="40"/>
          <w:vertAlign w:val="baseline"/>
          <w:lang w:val="en-US" w:eastAsia="zh-CN"/>
        </w:rPr>
        <w:t>五</w:t>
      </w:r>
      <w:r>
        <w:rPr>
          <w:rFonts w:hint="eastAsia" w:ascii="微软雅黑" w:hAnsi="微软雅黑" w:eastAsia="微软雅黑" w:cs="微软雅黑"/>
          <w:b/>
          <w:bCs/>
          <w:sz w:val="32"/>
          <w:szCs w:val="40"/>
          <w:vertAlign w:val="baseline"/>
        </w:rPr>
        <w:t>届大学生文化创新创意大赛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rPr>
        <w:t>个人/团队报名表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参赛单位</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rPr>
            </w:pPr>
            <w:r>
              <w:rPr>
                <w:rFonts w:hint="eastAsia" w:ascii="微软雅黑" w:hAnsi="微软雅黑" w:eastAsia="微软雅黑" w:cs="微软雅黑"/>
                <w:sz w:val="22"/>
                <w:szCs w:val="28"/>
              </w:rPr>
              <w:t>指导老师姓名、单位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rPr>
              <w:t>（选填）</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参赛作品知识产权为该作品创作人所有。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作品创作人用于参赛的实物作品，如获得最佳奖或提名奖均视为对大赛组委会无偿赠与，比赛结束后作品创作人要求退还的须向大赛组委会提出申请。</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作品入围后，与大学生文化创新创意大赛组委会签订参赛作品知识产代理权授权协议，否则将视为主动放弃参赛资格。</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大学生文化创新创意设计大赛组委会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8522" w:type="dxa"/>
            <w:gridSpan w:val="4"/>
            <w:vAlign w:val="top"/>
          </w:tcPr>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参赛作品创作思路、难点说明：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填报单位必须真实填写此表，如发现虚假信息，取消评审资格；</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申报时加盖单位公章，并提交电子版。</w:t>
            </w: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完成后，务必在8月31日下午6：00前发送到邮箱：daqinip@163.com或在网站</w:t>
            </w:r>
            <w:r>
              <w:rPr>
                <w:rFonts w:hint="eastAsia" w:ascii="微软雅黑" w:hAnsi="微软雅黑" w:eastAsia="微软雅黑" w:cs="微软雅黑"/>
                <w:sz w:val="22"/>
                <w:szCs w:val="28"/>
                <w:lang w:eastAsia="zh-CN"/>
              </w:rPr>
              <w:t>（www.daqinip.com）</w:t>
            </w:r>
            <w:r>
              <w:rPr>
                <w:rFonts w:hint="eastAsia" w:ascii="微软雅黑" w:hAnsi="微软雅黑" w:eastAsia="微软雅黑" w:cs="微软雅黑"/>
                <w:sz w:val="22"/>
                <w:szCs w:val="28"/>
              </w:rPr>
              <w:t xml:space="preserve">上传。 </w:t>
            </w:r>
            <w:bookmarkStart w:id="0" w:name="_GoBack"/>
            <w:bookmarkEnd w:id="0"/>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139B6573"/>
    <w:rsid w:val="15AA1666"/>
    <w:rsid w:val="1CE33C37"/>
    <w:rsid w:val="211B40C0"/>
    <w:rsid w:val="27E8338A"/>
    <w:rsid w:val="2C4E7CC2"/>
    <w:rsid w:val="2D0B1554"/>
    <w:rsid w:val="303151E2"/>
    <w:rsid w:val="3B124EB0"/>
    <w:rsid w:val="3BC83DFE"/>
    <w:rsid w:val="3F16384E"/>
    <w:rsid w:val="4D4B5083"/>
    <w:rsid w:val="6D594EA3"/>
    <w:rsid w:val="725144E6"/>
    <w:rsid w:val="75DC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562</Characters>
  <Lines>0</Lines>
  <Paragraphs>0</Paragraphs>
  <TotalTime>15</TotalTime>
  <ScaleCrop>false</ScaleCrop>
  <LinksUpToDate>false</LinksUpToDate>
  <CharactersWithSpaces>571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2022-05-09T03:53:03Z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A2224445D7A2407F89312F172494B07C</vt:lpwstr>
  </property>
</Properties>
</file>